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贵州健康职业学院书架采购清单</w:t>
      </w:r>
    </w:p>
    <w:p>
      <w:pPr>
        <w:pStyle w:val="3"/>
        <w:jc w:val="center"/>
        <w:rPr>
          <w:rFonts w:hint="default"/>
          <w:lang w:val="en-US" w:eastAsia="zh-CN"/>
        </w:rPr>
      </w:pPr>
      <w:r>
        <w:rPr>
          <w:rFonts w:hint="default"/>
          <w:lang w:val="en-US" w:eastAsia="zh-CN"/>
        </w:rPr>
        <w:t>（注：报价包括货物费用、运输费、安装费、售后服务及税金）</w:t>
      </w:r>
    </w:p>
    <w:tbl>
      <w:tblPr>
        <w:tblStyle w:val="10"/>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6"/>
        <w:gridCol w:w="1775"/>
        <w:gridCol w:w="1759"/>
        <w:gridCol w:w="186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6" w:type="dxa"/>
            <w:noWrap w:val="0"/>
            <w:vAlign w:val="top"/>
          </w:tcPr>
          <w:p>
            <w:pPr>
              <w:pStyle w:val="12"/>
              <w:spacing w:line="360" w:lineRule="auto"/>
              <w:jc w:val="center"/>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橡木包边钢木书架</w:t>
            </w:r>
          </w:p>
        </w:tc>
        <w:tc>
          <w:tcPr>
            <w:tcW w:w="1775" w:type="dxa"/>
            <w:noWrap w:val="0"/>
            <w:vAlign w:val="top"/>
          </w:tcPr>
          <w:p>
            <w:pPr>
              <w:pStyle w:val="12"/>
              <w:spacing w:line="360" w:lineRule="auto"/>
              <w:jc w:val="center"/>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单  价（元）</w:t>
            </w:r>
          </w:p>
        </w:tc>
        <w:tc>
          <w:tcPr>
            <w:tcW w:w="1759" w:type="dxa"/>
            <w:noWrap w:val="0"/>
            <w:vAlign w:val="top"/>
          </w:tcPr>
          <w:p>
            <w:pPr>
              <w:pStyle w:val="12"/>
              <w:spacing w:line="360" w:lineRule="auto"/>
              <w:jc w:val="center"/>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数  量（组）</w:t>
            </w:r>
          </w:p>
        </w:tc>
        <w:tc>
          <w:tcPr>
            <w:tcW w:w="1865" w:type="dxa"/>
            <w:noWrap w:val="0"/>
            <w:vAlign w:val="top"/>
          </w:tcPr>
          <w:p>
            <w:pPr>
              <w:pStyle w:val="12"/>
              <w:spacing w:line="360" w:lineRule="auto"/>
              <w:jc w:val="center"/>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合  计（元）</w:t>
            </w:r>
          </w:p>
        </w:tc>
        <w:tc>
          <w:tcPr>
            <w:tcW w:w="1775" w:type="dxa"/>
            <w:noWrap w:val="0"/>
            <w:vAlign w:val="top"/>
          </w:tcPr>
          <w:p>
            <w:pPr>
              <w:pStyle w:val="12"/>
              <w:spacing w:line="360" w:lineRule="auto"/>
              <w:jc w:val="center"/>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6" w:type="dxa"/>
            <w:noWrap w:val="0"/>
            <w:vAlign w:val="top"/>
          </w:tcPr>
          <w:p>
            <w:pPr>
              <w:pStyle w:val="12"/>
              <w:numPr>
                <w:ilvl w:val="0"/>
                <w:numId w:val="0"/>
              </w:num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drawing>
                <wp:inline distT="0" distB="0" distL="114300" distR="114300">
                  <wp:extent cx="4289425" cy="3099435"/>
                  <wp:effectExtent l="0" t="0" r="8255" b="9525"/>
                  <wp:docPr id="1" name="图片 1" descr="(20191126)6组1列双面6层双柱普通书挡结构图(橡木侧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1126)6组1列双面6层双柱普通书挡结构图(橡木侧板)"/>
                          <pic:cNvPicPr>
                            <a:picLocks noChangeAspect="1"/>
                          </pic:cNvPicPr>
                        </pic:nvPicPr>
                        <pic:blipFill>
                          <a:blip r:embed="rId6"/>
                          <a:stretch>
                            <a:fillRect/>
                          </a:stretch>
                        </pic:blipFill>
                        <pic:spPr>
                          <a:xfrm>
                            <a:off x="0" y="0"/>
                            <a:ext cx="4289425" cy="3099435"/>
                          </a:xfrm>
                          <a:prstGeom prst="rect">
                            <a:avLst/>
                          </a:prstGeom>
                          <a:noFill/>
                          <a:ln>
                            <a:noFill/>
                          </a:ln>
                        </pic:spPr>
                      </pic:pic>
                    </a:graphicData>
                  </a:graphic>
                </wp:inline>
              </w:drawing>
            </w:r>
          </w:p>
          <w:p>
            <w:pPr>
              <w:spacing w:line="360" w:lineRule="auto"/>
              <w:rPr>
                <w:rFonts w:hint="default" w:ascii="宋体" w:hAnsi="宋体" w:eastAsia="宋体"/>
                <w:b/>
                <w:szCs w:val="21"/>
                <w:lang w:val="en-US" w:eastAsia="zh-CN"/>
              </w:rPr>
            </w:pPr>
            <w:r>
              <w:rPr>
                <w:rFonts w:hint="eastAsia" w:ascii="宋体" w:hAnsi="宋体"/>
                <w:b/>
                <w:sz w:val="22"/>
                <w:szCs w:val="22"/>
                <w:lang w:val="en-US" w:eastAsia="zh-CN"/>
              </w:rPr>
              <w:t>1.</w:t>
            </w:r>
            <w:r>
              <w:rPr>
                <w:rFonts w:hint="eastAsia" w:ascii="宋体" w:hAnsi="宋体"/>
                <w:b/>
                <w:sz w:val="24"/>
                <w:szCs w:val="24"/>
                <w:lang w:val="en-US" w:eastAsia="zh-CN"/>
              </w:rPr>
              <w:t>规格</w:t>
            </w:r>
            <w:r>
              <w:rPr>
                <w:rFonts w:hint="eastAsia" w:ascii="宋体" w:hAnsi="宋体"/>
                <w:b/>
                <w:sz w:val="22"/>
                <w:szCs w:val="22"/>
                <w:lang w:val="en-US" w:eastAsia="zh-CN"/>
              </w:rPr>
              <w:t>：</w:t>
            </w:r>
            <w:r>
              <w:rPr>
                <w:rFonts w:hint="eastAsia" w:ascii="宋体" w:hAnsi="宋体" w:eastAsia="宋体" w:cs="宋体"/>
                <w:b/>
                <w:bCs/>
                <w:sz w:val="24"/>
                <w:szCs w:val="24"/>
              </w:rPr>
              <w:t>每组内空长度90</w:t>
            </w:r>
            <w:r>
              <w:rPr>
                <w:rFonts w:hint="eastAsia" w:ascii="宋体" w:hAnsi="宋体" w:eastAsia="宋体" w:cs="宋体"/>
                <w:b/>
                <w:bCs/>
                <w:sz w:val="24"/>
                <w:szCs w:val="24"/>
                <w:lang w:val="en-US" w:eastAsia="zh-CN"/>
              </w:rPr>
              <w:t>0mm；宽450mm；</w:t>
            </w:r>
            <w:r>
              <w:rPr>
                <w:rFonts w:hint="eastAsia" w:ascii="宋体" w:hAnsi="宋体" w:eastAsia="宋体" w:cs="宋体"/>
                <w:b/>
                <w:bCs/>
                <w:sz w:val="24"/>
                <w:szCs w:val="24"/>
              </w:rPr>
              <w:t>书架高2.1米</w:t>
            </w:r>
            <w:r>
              <w:rPr>
                <w:rFonts w:hint="eastAsia" w:ascii="宋体" w:hAnsi="宋体" w:eastAsia="宋体" w:cs="宋体"/>
                <w:b/>
                <w:bCs/>
                <w:sz w:val="24"/>
                <w:szCs w:val="24"/>
                <w:lang w:eastAsia="zh-CN"/>
              </w:rPr>
              <w:t>整体</w:t>
            </w:r>
            <w:r>
              <w:rPr>
                <w:rFonts w:ascii="宋体" w:hAnsi="宋体" w:eastAsia="宋体" w:cs="宋体"/>
                <w:b/>
                <w:bCs/>
                <w:sz w:val="24"/>
                <w:szCs w:val="24"/>
              </w:rPr>
              <w:t>6层</w:t>
            </w:r>
          </w:p>
          <w:p>
            <w:pPr>
              <w:spacing w:line="360" w:lineRule="auto"/>
              <w:rPr>
                <w:rFonts w:hint="eastAsia" w:ascii="宋体" w:hAnsi="宋体"/>
                <w:szCs w:val="21"/>
              </w:rPr>
            </w:pPr>
            <w:r>
              <w:rPr>
                <w:rFonts w:hint="eastAsia" w:ascii="宋体" w:hAnsi="宋体"/>
                <w:b/>
                <w:szCs w:val="21"/>
              </w:rPr>
              <w:t>2</w:t>
            </w:r>
            <w:r>
              <w:rPr>
                <w:rFonts w:hint="eastAsia" w:ascii="宋体" w:hAnsi="宋体"/>
                <w:b/>
                <w:szCs w:val="21"/>
                <w:lang w:eastAsia="zh-CN"/>
              </w:rPr>
              <w:t>.</w:t>
            </w:r>
            <w:r>
              <w:rPr>
                <w:rFonts w:hint="eastAsia" w:ascii="宋体" w:hAnsi="宋体"/>
                <w:b/>
                <w:szCs w:val="21"/>
              </w:rPr>
              <w:t>符合标准：</w:t>
            </w:r>
            <w:r>
              <w:rPr>
                <w:rFonts w:hint="eastAsia" w:ascii="宋体" w:hAnsi="宋体"/>
                <w:szCs w:val="21"/>
              </w:rPr>
              <w:t>《钢制书架通用技术条件》GB/T13667.1-2015</w:t>
            </w:r>
            <w:r>
              <w:rPr>
                <w:rFonts w:hint="eastAsia" w:ascii="宋体" w:hAnsi="宋体"/>
                <w:shd w:val="clear" w:color="auto" w:fill="FFFFFF"/>
              </w:rPr>
              <w:t>。</w:t>
            </w:r>
          </w:p>
          <w:p>
            <w:pPr>
              <w:pStyle w:val="12"/>
              <w:spacing w:line="360" w:lineRule="auto"/>
              <w:rPr>
                <w:rFonts w:hint="eastAsia" w:eastAsia="宋体"/>
                <w:b/>
                <w:sz w:val="21"/>
                <w:szCs w:val="21"/>
                <w:lang w:eastAsia="zh-CN"/>
              </w:rPr>
            </w:pPr>
            <w:r>
              <w:rPr>
                <w:rFonts w:hint="eastAsia"/>
                <w:b/>
                <w:sz w:val="21"/>
                <w:szCs w:val="21"/>
              </w:rPr>
              <w:t>3</w:t>
            </w:r>
            <w:r>
              <w:rPr>
                <w:rFonts w:hint="eastAsia" w:eastAsia="宋体"/>
                <w:b/>
                <w:sz w:val="21"/>
                <w:szCs w:val="21"/>
                <w:lang w:eastAsia="zh-CN"/>
              </w:rPr>
              <w:t>.</w:t>
            </w:r>
            <w:r>
              <w:rPr>
                <w:rFonts w:hint="eastAsia"/>
                <w:b/>
                <w:sz w:val="21"/>
                <w:szCs w:val="21"/>
              </w:rPr>
              <w:t>各部件技术参数：</w:t>
            </w:r>
          </w:p>
          <w:p>
            <w:pPr>
              <w:pStyle w:val="12"/>
              <w:spacing w:line="360" w:lineRule="auto"/>
              <w:ind w:firstLine="480" w:firstLineChars="200"/>
              <w:rPr>
                <w:rFonts w:hint="eastAsia" w:ascii="宋体" w:hAnsi="宋体" w:eastAsia="宋体"/>
                <w:lang w:eastAsia="zh-CN"/>
              </w:rPr>
            </w:pPr>
            <w:r>
              <w:rPr>
                <w:rFonts w:hint="eastAsia" w:ascii="宋体" w:hAnsi="宋体"/>
              </w:rPr>
              <w:t>钢制构件厚度：立柱1.</w:t>
            </w:r>
            <w:r>
              <w:rPr>
                <w:rFonts w:hint="eastAsia" w:ascii="宋体" w:hAnsi="宋体" w:eastAsia="宋体"/>
                <w:lang w:val="en-US" w:eastAsia="zh-CN"/>
              </w:rPr>
              <w:t>5</w:t>
            </w:r>
            <w:r>
              <w:rPr>
                <w:rFonts w:hint="eastAsia" w:ascii="宋体" w:hAnsi="宋体"/>
              </w:rPr>
              <w:t>㎜，</w:t>
            </w:r>
            <w:r>
              <w:rPr>
                <w:rFonts w:hint="eastAsia" w:ascii="宋体" w:hAnsi="宋体" w:eastAsia="宋体"/>
                <w:lang w:eastAsia="zh-CN"/>
              </w:rPr>
              <w:t>搁</w:t>
            </w:r>
            <w:r>
              <w:rPr>
                <w:rFonts w:hint="eastAsia" w:ascii="宋体" w:hAnsi="宋体"/>
              </w:rPr>
              <w:t>板1.0㎜，挂板1.0㎜，底</w:t>
            </w:r>
            <w:r>
              <w:rPr>
                <w:rFonts w:hint="eastAsia" w:ascii="宋体" w:hAnsi="宋体" w:eastAsia="宋体"/>
                <w:lang w:eastAsia="zh-CN"/>
              </w:rPr>
              <w:t>梁</w:t>
            </w:r>
            <w:r>
              <w:rPr>
                <w:rFonts w:hint="eastAsia" w:ascii="宋体" w:hAnsi="宋体"/>
              </w:rPr>
              <w:t>1.</w:t>
            </w:r>
            <w:r>
              <w:rPr>
                <w:rFonts w:hint="eastAsia" w:ascii="宋体" w:hAnsi="宋体" w:eastAsia="宋体"/>
                <w:lang w:val="en-US" w:eastAsia="zh-CN"/>
              </w:rPr>
              <w:t>5</w:t>
            </w:r>
            <w:r>
              <w:rPr>
                <w:rFonts w:hint="eastAsia" w:ascii="宋体" w:hAnsi="宋体"/>
              </w:rPr>
              <w:t>㎜，顶板</w:t>
            </w:r>
            <w:r>
              <w:rPr>
                <w:rFonts w:hint="eastAsia" w:ascii="宋体" w:hAnsi="宋体" w:eastAsia="宋体"/>
                <w:lang w:eastAsia="zh-CN"/>
              </w:rPr>
              <w:t>0.</w:t>
            </w:r>
            <w:r>
              <w:rPr>
                <w:rFonts w:hint="eastAsia" w:ascii="宋体" w:hAnsi="宋体" w:eastAsia="宋体"/>
                <w:lang w:val="en-US" w:eastAsia="zh-CN"/>
              </w:rPr>
              <w:t>9</w:t>
            </w:r>
            <w:r>
              <w:rPr>
                <w:rFonts w:hint="eastAsia" w:ascii="宋体" w:hAnsi="宋体"/>
              </w:rPr>
              <w:t>㎜，</w:t>
            </w:r>
            <w:r>
              <w:rPr>
                <w:rFonts w:hint="eastAsia" w:ascii="宋体" w:hAnsi="宋体" w:eastAsia="宋体" w:cs="宋体"/>
                <w:color w:val="auto"/>
                <w:sz w:val="24"/>
                <w:szCs w:val="24"/>
              </w:rPr>
              <w:t>豪华</w:t>
            </w:r>
            <w:r>
              <w:rPr>
                <w:rFonts w:hint="eastAsia" w:ascii="宋体" w:hAnsi="宋体" w:eastAsia="宋体"/>
                <w:color w:val="auto"/>
                <w:lang w:eastAsia="zh-CN"/>
              </w:rPr>
              <w:t>实心</w:t>
            </w:r>
            <w:r>
              <w:rPr>
                <w:rFonts w:hint="eastAsia" w:ascii="宋体" w:hAnsi="宋体" w:eastAsia="宋体" w:cs="宋体"/>
                <w:color w:val="auto"/>
                <w:sz w:val="24"/>
                <w:szCs w:val="24"/>
              </w:rPr>
              <w:t>挡</w:t>
            </w:r>
            <w:r>
              <w:rPr>
                <w:rFonts w:hint="eastAsia" w:ascii="宋体" w:hAnsi="宋体" w:eastAsia="宋体" w:cs="宋体"/>
                <w:color w:val="auto"/>
                <w:sz w:val="24"/>
                <w:szCs w:val="24"/>
                <w:lang w:eastAsia="zh-CN"/>
              </w:rPr>
              <w:t>板</w:t>
            </w:r>
            <w:r>
              <w:rPr>
                <w:rFonts w:hint="eastAsia" w:ascii="宋体" w:hAnsi="宋体" w:eastAsia="宋体"/>
                <w:color w:val="auto"/>
                <w:lang w:eastAsia="zh-CN"/>
              </w:rPr>
              <w:t>0.</w:t>
            </w:r>
            <w:r>
              <w:rPr>
                <w:rFonts w:hint="eastAsia" w:ascii="宋体" w:hAnsi="宋体" w:eastAsia="宋体"/>
                <w:color w:val="auto"/>
                <w:lang w:val="en-US" w:eastAsia="zh-CN"/>
              </w:rPr>
              <w:t>8</w:t>
            </w:r>
            <w:r>
              <w:rPr>
                <w:rFonts w:hint="eastAsia" w:ascii="宋体" w:hAnsi="宋体"/>
                <w:color w:val="auto"/>
              </w:rPr>
              <w:t>mm。</w:t>
            </w:r>
            <w:r>
              <w:rPr>
                <w:rFonts w:hint="eastAsia" w:ascii="宋体" w:hAnsi="宋体"/>
              </w:rPr>
              <w:t>钢件部分采用</w:t>
            </w:r>
            <w:r>
              <w:rPr>
                <w:rFonts w:hint="eastAsia" w:ascii="宋体" w:hAnsi="宋体"/>
                <w:b w:val="0"/>
                <w:bCs/>
                <w:color w:val="auto"/>
              </w:rPr>
              <w:t>上海宝钢优质冷轧钢板，层数和</w:t>
            </w:r>
            <w:r>
              <w:rPr>
                <w:rFonts w:hint="eastAsia" w:ascii="宋体" w:hAnsi="宋体" w:eastAsia="宋体"/>
                <w:b w:val="0"/>
                <w:bCs/>
                <w:color w:val="auto"/>
                <w:lang w:eastAsia="zh-CN"/>
              </w:rPr>
              <w:t>间</w:t>
            </w:r>
            <w:r>
              <w:rPr>
                <w:rFonts w:hint="eastAsia" w:ascii="宋体" w:hAnsi="宋体"/>
                <w:b w:val="0"/>
                <w:bCs/>
                <w:color w:val="auto"/>
              </w:rPr>
              <w:t>距可自由调整，表面静电喷塑。</w:t>
            </w:r>
            <w:r>
              <w:rPr>
                <w:rFonts w:hint="eastAsia" w:ascii="宋体" w:hAnsi="宋体" w:eastAsia="宋体"/>
                <w:b w:val="0"/>
                <w:bCs/>
                <w:color w:val="auto"/>
                <w:lang w:eastAsia="zh-CN"/>
              </w:rPr>
              <w:t>板材厚度为裸板厚度，不含</w:t>
            </w:r>
            <w:r>
              <w:rPr>
                <w:rFonts w:hint="eastAsia" w:ascii="宋体" w:hAnsi="宋体" w:eastAsia="宋体"/>
                <w:color w:val="auto"/>
                <w:lang w:eastAsia="zh-CN"/>
              </w:rPr>
              <w:t>表面附着物。</w:t>
            </w:r>
          </w:p>
          <w:p>
            <w:pPr>
              <w:spacing w:line="360" w:lineRule="auto"/>
              <w:rPr>
                <w:rFonts w:hint="eastAsia" w:ascii="宋体" w:hAnsi="宋体"/>
                <w:kern w:val="0"/>
                <w:sz w:val="24"/>
                <w:lang w:val="en-US" w:eastAsia="zh-CN"/>
              </w:rPr>
            </w:pPr>
            <w:r>
              <w:rPr>
                <w:rFonts w:hint="eastAsia"/>
                <w:b/>
                <w:bCs w:val="0"/>
                <w:sz w:val="21"/>
                <w:szCs w:val="21"/>
              </w:rPr>
              <w:t>1）</w:t>
            </w:r>
            <w:r>
              <w:rPr>
                <w:rFonts w:hint="eastAsia" w:ascii="宋体" w:hAnsi="宋体"/>
                <w:b/>
                <w:bCs w:val="0"/>
                <w:kern w:val="0"/>
                <w:sz w:val="24"/>
                <w:lang w:val="en-US" w:eastAsia="zh-CN"/>
              </w:rPr>
              <w:t>立柱：</w:t>
            </w:r>
            <w:r>
              <w:rPr>
                <w:rFonts w:hint="eastAsia" w:ascii="宋体" w:hAnsi="宋体"/>
                <w:kern w:val="0"/>
                <w:sz w:val="24"/>
                <w:lang w:val="en-US" w:eastAsia="zh-CN"/>
              </w:rPr>
              <w:t>采用1.5mm优质冷轧钢板，54×38mm，允许公差尺寸±1mm，材料厚度1.5mm，整体九面八翻边，下冲折成型工艺。立柱正面作内陷压型，成型深规格5±1mm ×外口宽33±1mm×底宽23±1mm，承重能力强，钢性足。立柱均匀冲孔，层数和间距可按需要调整。</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（详见附图）</w:t>
            </w:r>
          </w:p>
          <w:p>
            <w:pPr>
              <w:spacing w:line="336" w:lineRule="auto"/>
              <w:jc w:val="center"/>
              <w:rPr>
                <w:rFonts w:hint="eastAsia" w:ascii="宋体" w:hAnsi="宋体"/>
                <w:b/>
                <w:bCs/>
                <w:szCs w:val="21"/>
              </w:rPr>
            </w:pPr>
            <w:r>
              <w:rPr>
                <w:rFonts w:hint="eastAsia" w:ascii="宋体" w:hAnsi="宋体" w:cs="宋体"/>
                <w:szCs w:val="21"/>
              </w:rPr>
              <w:drawing>
                <wp:inline distT="0" distB="0" distL="114300" distR="114300">
                  <wp:extent cx="3961765" cy="835025"/>
                  <wp:effectExtent l="0" t="0" r="635" b="3175"/>
                  <wp:docPr id="2" name="图片 2"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png"/>
                          <pic:cNvPicPr>
                            <a:picLocks noChangeAspect="1"/>
                          </pic:cNvPicPr>
                        </pic:nvPicPr>
                        <pic:blipFill>
                          <a:blip r:embed="rId7"/>
                          <a:stretch>
                            <a:fillRect/>
                          </a:stretch>
                        </pic:blipFill>
                        <pic:spPr>
                          <a:xfrm>
                            <a:off x="0" y="0"/>
                            <a:ext cx="3961765" cy="835025"/>
                          </a:xfrm>
                          <a:prstGeom prst="rect">
                            <a:avLst/>
                          </a:prstGeom>
                          <a:noFill/>
                          <a:ln>
                            <a:noFill/>
                          </a:ln>
                        </pic:spPr>
                      </pic:pic>
                    </a:graphicData>
                  </a:graphic>
                </wp:inline>
              </w:drawing>
            </w:r>
          </w:p>
          <w:p>
            <w:pPr>
              <w:spacing w:line="336" w:lineRule="auto"/>
              <w:rPr>
                <w:rFonts w:hint="eastAsia" w:ascii="宋体" w:hAnsi="宋体"/>
                <w:b/>
                <w:bCs/>
                <w:szCs w:val="21"/>
              </w:rPr>
            </w:pPr>
          </w:p>
          <w:p>
            <w:pPr>
              <w:spacing w:line="360" w:lineRule="auto"/>
              <w:rPr>
                <w:rFonts w:hint="eastAsia" w:ascii="宋体" w:hAnsi="宋体"/>
                <w:kern w:val="0"/>
                <w:sz w:val="24"/>
                <w:lang w:val="en-US" w:eastAsia="zh-CN"/>
              </w:rPr>
            </w:pPr>
            <w:r>
              <w:rPr>
                <w:rFonts w:hint="eastAsia" w:ascii="宋体" w:hAnsi="宋体"/>
                <w:b/>
                <w:bCs/>
                <w:szCs w:val="21"/>
              </w:rPr>
              <w:t>2）</w:t>
            </w:r>
            <w:r>
              <w:rPr>
                <w:rFonts w:hint="eastAsia" w:ascii="宋体" w:hAnsi="宋体"/>
                <w:b/>
                <w:bCs/>
                <w:kern w:val="0"/>
                <w:sz w:val="24"/>
                <w:lang w:val="en-US" w:eastAsia="zh-CN"/>
              </w:rPr>
              <w:t>搁板</w:t>
            </w:r>
            <w:r>
              <w:rPr>
                <w:rFonts w:hint="eastAsia" w:ascii="宋体" w:hAnsi="宋体"/>
                <w:kern w:val="0"/>
                <w:sz w:val="24"/>
                <w:lang w:val="en-US" w:eastAsia="zh-CN"/>
              </w:rPr>
              <w:t>：采用1.0mm优质冷轧钢板。搁板防惯性滑落设计，九折弯一体成形工艺，两侧形成15</w:t>
            </w:r>
            <w:r>
              <w:rPr>
                <w:rFonts w:hint="eastAsia" w:ascii="宋体" w:hAnsi="宋体"/>
                <w:color w:val="auto"/>
                <w:kern w:val="0"/>
                <w:sz w:val="24"/>
                <w:lang w:val="en-US" w:eastAsia="zh-CN"/>
              </w:rPr>
              <w:t>mm</w:t>
            </w:r>
            <w:r>
              <w:rPr>
                <w:rFonts w:hint="eastAsia" w:ascii="宋体" w:hAnsi="宋体"/>
                <w:kern w:val="0"/>
                <w:sz w:val="24"/>
                <w:lang w:val="en-US" w:eastAsia="zh-CN"/>
              </w:rPr>
              <w:t>宽封闭式矩形口。搁板正面压制两组圆筋，每组压筋数3条，主筋尺寸5*2.5mm，辅筋尺寸3.6*1.8mm，两侧各压制两根加强筋，筋尺寸3*1.5mm。搁板内侧厚度23mm，外侧面厚度27mm。防惯性封口搁板外观新颖、刚性足，有效的保证档案资料安全，增加了搁板承重能力。</w:t>
            </w:r>
          </w:p>
          <w:p>
            <w:pPr>
              <w:spacing w:line="336" w:lineRule="auto"/>
              <w:jc w:val="center"/>
              <w:rPr>
                <w:rFonts w:hint="eastAsia" w:ascii="宋体" w:hAnsi="宋体"/>
                <w:szCs w:val="21"/>
              </w:rPr>
            </w:pPr>
            <w:r>
              <w:rPr>
                <w:rFonts w:hint="eastAsia" w:ascii="宋体" w:hAnsi="宋体" w:eastAsia="微软雅黑"/>
                <w:szCs w:val="21"/>
                <w:lang w:eastAsia="zh-CN"/>
              </w:rPr>
              <w:drawing>
                <wp:inline distT="0" distB="0" distL="114300" distR="114300">
                  <wp:extent cx="2449830" cy="1203960"/>
                  <wp:effectExtent l="0" t="0" r="3810" b="0"/>
                  <wp:docPr id="3" name="图片 3" descr="5ba40315a6bd53449e8b66d2bae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a40315a6bd53449e8b66d2bae9135"/>
                          <pic:cNvPicPr>
                            <a:picLocks noChangeAspect="1"/>
                          </pic:cNvPicPr>
                        </pic:nvPicPr>
                        <pic:blipFill>
                          <a:blip r:embed="rId8"/>
                          <a:stretch>
                            <a:fillRect/>
                          </a:stretch>
                        </pic:blipFill>
                        <pic:spPr>
                          <a:xfrm>
                            <a:off x="0" y="0"/>
                            <a:ext cx="2449830" cy="1203960"/>
                          </a:xfrm>
                          <a:prstGeom prst="rect">
                            <a:avLst/>
                          </a:prstGeom>
                          <a:noFill/>
                          <a:ln>
                            <a:noFill/>
                          </a:ln>
                        </pic:spPr>
                      </pic:pic>
                    </a:graphicData>
                  </a:graphic>
                </wp:inline>
              </w:drawing>
            </w:r>
          </w:p>
          <w:p>
            <w:pPr>
              <w:spacing w:line="360" w:lineRule="auto"/>
              <w:rPr>
                <w:rFonts w:hint="eastAsia" w:ascii="宋体" w:hAnsi="宋体" w:eastAsia="宋体"/>
                <w:color w:val="000000"/>
              </w:rPr>
            </w:pPr>
            <w:r>
              <w:rPr>
                <w:rFonts w:hint="eastAsia" w:ascii="宋体" w:hAnsi="宋体"/>
                <w:b/>
                <w:bCs/>
                <w:szCs w:val="21"/>
              </w:rPr>
              <w:t>3）</w:t>
            </w:r>
            <w:r>
              <w:rPr>
                <w:rFonts w:hint="eastAsia" w:ascii="宋体" w:hAnsi="宋体"/>
                <w:b/>
                <w:bCs/>
                <w:kern w:val="0"/>
                <w:sz w:val="24"/>
                <w:lang w:val="en-US" w:eastAsia="zh-CN"/>
              </w:rPr>
              <w:t>挂板：</w:t>
            </w:r>
            <w:r>
              <w:rPr>
                <w:rFonts w:hint="eastAsia" w:ascii="宋体" w:hAnsi="宋体"/>
                <w:kern w:val="0"/>
                <w:sz w:val="24"/>
                <w:lang w:val="en-US" w:eastAsia="zh-CN"/>
              </w:rPr>
              <w:t>采用1.0mm优质冷轧钢板，采用模具一体冲压成型，中间腰形拉伸翻边模成形两个台阶加强孔，孔上下位置设有四根圆筋，挂板上下端直角折弯，并冲有四个凸槽，使搁板嵌置于弯边凸肩上，组装后平整、牢固。承重性好，外观新颖，可防止搁板前后窜动，通用性互换性好。表面再采用酸洗磷化后进行喷塑处理，外形美观，色泽鲜亮，使基本材质不会腐蚀，经久耐用。</w:t>
            </w:r>
          </w:p>
          <w:p>
            <w:pPr>
              <w:spacing w:line="336" w:lineRule="auto"/>
              <w:ind w:right="68"/>
              <w:jc w:val="center"/>
              <w:rPr>
                <w:rFonts w:ascii="宋体" w:hAnsi="宋体"/>
                <w:kern w:val="0"/>
                <w:szCs w:val="21"/>
              </w:rPr>
            </w:pPr>
            <w:r>
              <w:rPr>
                <w:rFonts w:hint="eastAsia" w:ascii="宋体" w:hAnsi="宋体" w:eastAsia="宋体"/>
                <w:color w:val="000000"/>
              </w:rPr>
              <w:drawing>
                <wp:inline distT="0" distB="0" distL="114300" distR="114300">
                  <wp:extent cx="2508250" cy="1464310"/>
                  <wp:effectExtent l="0" t="0" r="6350" b="13970"/>
                  <wp:docPr id="5" name="图片 4" descr="压筋式挂板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压筋式挂板效果图"/>
                          <pic:cNvPicPr>
                            <a:picLocks noChangeAspect="1"/>
                          </pic:cNvPicPr>
                        </pic:nvPicPr>
                        <pic:blipFill>
                          <a:blip r:embed="rId9"/>
                          <a:srcRect t="21559"/>
                          <a:stretch>
                            <a:fillRect/>
                          </a:stretch>
                        </pic:blipFill>
                        <pic:spPr>
                          <a:xfrm>
                            <a:off x="0" y="0"/>
                            <a:ext cx="2508250" cy="1464310"/>
                          </a:xfrm>
                          <a:prstGeom prst="rect">
                            <a:avLst/>
                          </a:prstGeom>
                          <a:noFill/>
                          <a:ln>
                            <a:noFill/>
                          </a:ln>
                        </pic:spPr>
                      </pic:pic>
                    </a:graphicData>
                  </a:graphic>
                </wp:inline>
              </w:drawing>
            </w:r>
          </w:p>
          <w:p>
            <w:pPr>
              <w:spacing w:line="360" w:lineRule="auto"/>
              <w:rPr>
                <w:rFonts w:hint="eastAsia" w:ascii="宋体" w:hAnsi="宋体"/>
                <w:kern w:val="0"/>
                <w:szCs w:val="21"/>
              </w:rPr>
            </w:pPr>
            <w:r>
              <w:rPr>
                <w:rFonts w:hint="eastAsia" w:ascii="宋体" w:hAnsi="宋体"/>
                <w:b/>
                <w:bCs/>
                <w:szCs w:val="21"/>
              </w:rPr>
              <w:t>4）</w:t>
            </w:r>
            <w:r>
              <w:rPr>
                <w:rFonts w:hint="eastAsia" w:ascii="宋体" w:hAnsi="宋体"/>
                <w:b/>
                <w:szCs w:val="21"/>
              </w:rPr>
              <w:t>底</w:t>
            </w:r>
            <w:r>
              <w:rPr>
                <w:rFonts w:hint="eastAsia" w:ascii="宋体" w:hAnsi="宋体"/>
                <w:b/>
                <w:szCs w:val="21"/>
                <w:lang w:eastAsia="zh-CN"/>
              </w:rPr>
              <w:t>梁</w:t>
            </w:r>
            <w:r>
              <w:rPr>
                <w:rFonts w:hint="eastAsia" w:ascii="宋体" w:hAnsi="宋体"/>
                <w:b/>
                <w:szCs w:val="21"/>
              </w:rPr>
              <w:t>：</w:t>
            </w:r>
            <w:r>
              <w:rPr>
                <w:rFonts w:ascii="宋体" w:hAnsi="宋体"/>
                <w:kern w:val="0"/>
                <w:szCs w:val="21"/>
              </w:rPr>
              <w:t>采用</w:t>
            </w:r>
            <w:r>
              <w:rPr>
                <w:rFonts w:hint="eastAsia" w:ascii="宋体" w:hAnsi="宋体"/>
                <w:kern w:val="0"/>
                <w:szCs w:val="21"/>
              </w:rPr>
              <w:t>1.</w:t>
            </w:r>
            <w:r>
              <w:rPr>
                <w:rFonts w:hint="eastAsia" w:ascii="宋体" w:hAnsi="宋体"/>
                <w:kern w:val="0"/>
                <w:szCs w:val="21"/>
                <w:lang w:val="en-US" w:eastAsia="zh-CN"/>
              </w:rPr>
              <w:t>5</w:t>
            </w:r>
            <w:r>
              <w:rPr>
                <w:rFonts w:hint="eastAsia" w:ascii="宋体" w:hAnsi="宋体"/>
                <w:kern w:val="0"/>
                <w:szCs w:val="21"/>
              </w:rPr>
              <w:t>mm</w:t>
            </w:r>
            <w:r>
              <w:rPr>
                <w:rFonts w:ascii="宋体" w:hAnsi="宋体"/>
                <w:kern w:val="0"/>
                <w:szCs w:val="21"/>
              </w:rPr>
              <w:t>优质冷轧钢板</w:t>
            </w:r>
            <w:r>
              <w:rPr>
                <w:rFonts w:hint="eastAsia" w:ascii="宋体" w:hAnsi="宋体"/>
                <w:kern w:val="0"/>
                <w:szCs w:val="21"/>
              </w:rPr>
              <w:t>。</w:t>
            </w:r>
            <w:r>
              <w:rPr>
                <w:rFonts w:hint="eastAsia" w:ascii="宋体" w:hAnsi="宋体"/>
                <w:kern w:val="0"/>
                <w:szCs w:val="21"/>
                <w:lang w:eastAsia="zh-CN"/>
              </w:rPr>
              <w:t>外侧采用仿古式木质底条包边。</w:t>
            </w:r>
          </w:p>
          <w:p>
            <w:pPr>
              <w:spacing w:line="360" w:lineRule="auto"/>
              <w:rPr>
                <w:rFonts w:hint="eastAsia" w:ascii="宋体" w:hAnsi="宋体" w:eastAsia="宋体"/>
                <w:kern w:val="0"/>
                <w:szCs w:val="21"/>
                <w:lang w:eastAsia="zh-CN"/>
              </w:rPr>
            </w:pPr>
            <w:r>
              <w:rPr>
                <w:rFonts w:hint="eastAsia" w:ascii="宋体" w:hAnsi="宋体"/>
                <w:b/>
                <w:bCs/>
                <w:szCs w:val="21"/>
              </w:rPr>
              <w:t>5）</w:t>
            </w:r>
            <w:r>
              <w:rPr>
                <w:rFonts w:hint="eastAsia" w:ascii="宋体" w:hAnsi="宋体"/>
                <w:b/>
                <w:szCs w:val="21"/>
              </w:rPr>
              <w:t>顶板：</w:t>
            </w:r>
            <w:r>
              <w:rPr>
                <w:rFonts w:ascii="宋体" w:hAnsi="宋体"/>
                <w:kern w:val="0"/>
                <w:szCs w:val="21"/>
              </w:rPr>
              <w:t>采用</w:t>
            </w:r>
            <w:r>
              <w:rPr>
                <w:rFonts w:hint="eastAsia" w:ascii="宋体" w:hAnsi="宋体"/>
                <w:kern w:val="0"/>
                <w:szCs w:val="21"/>
              </w:rPr>
              <w:t>0.</w:t>
            </w:r>
            <w:r>
              <w:rPr>
                <w:rFonts w:hint="eastAsia" w:ascii="宋体" w:hAnsi="宋体"/>
                <w:kern w:val="0"/>
                <w:szCs w:val="21"/>
                <w:lang w:val="en-US" w:eastAsia="zh-CN"/>
              </w:rPr>
              <w:t>9</w:t>
            </w:r>
            <w:r>
              <w:rPr>
                <w:rFonts w:hint="eastAsia" w:ascii="宋体" w:hAnsi="宋体"/>
                <w:kern w:val="0"/>
                <w:szCs w:val="21"/>
              </w:rPr>
              <w:t>mm</w:t>
            </w:r>
            <w:r>
              <w:rPr>
                <w:rFonts w:ascii="宋体" w:hAnsi="宋体"/>
                <w:kern w:val="0"/>
                <w:szCs w:val="21"/>
              </w:rPr>
              <w:t>优质冷轧钢</w:t>
            </w:r>
            <w:r>
              <w:rPr>
                <w:rFonts w:hint="eastAsia" w:ascii="宋体" w:hAnsi="宋体"/>
                <w:kern w:val="0"/>
                <w:szCs w:val="21"/>
              </w:rPr>
              <w:t>板，顶板采用一体成型工艺，</w:t>
            </w:r>
            <w:r>
              <w:rPr>
                <w:rFonts w:hint="eastAsia"/>
                <w:szCs w:val="21"/>
              </w:rPr>
              <w:t>正面压四筋及两侧各压一根筋，圆筋尺寸3x1.5mm，压筋式顶板外形美观，结构新颖，强度高，钢性足</w:t>
            </w:r>
            <w:r>
              <w:rPr>
                <w:rFonts w:hint="eastAsia" w:ascii="宋体" w:hAnsi="宋体"/>
                <w:kern w:val="0"/>
                <w:szCs w:val="21"/>
              </w:rPr>
              <w:t>。</w:t>
            </w:r>
            <w:r>
              <w:rPr>
                <w:rFonts w:hint="eastAsia" w:ascii="宋体" w:hAnsi="宋体"/>
                <w:kern w:val="0"/>
                <w:szCs w:val="21"/>
                <w:lang w:eastAsia="zh-CN"/>
              </w:rPr>
              <w:t>外侧采用仿古式木质顶条包边。</w:t>
            </w:r>
          </w:p>
          <w:p>
            <w:pPr>
              <w:spacing w:line="360" w:lineRule="auto"/>
              <w:rPr>
                <w:rFonts w:hint="eastAsia" w:ascii="宋体" w:hAnsi="宋体"/>
                <w:kern w:val="0"/>
                <w:szCs w:val="21"/>
                <w:lang w:val="en-US" w:eastAsia="zh-CN"/>
              </w:rPr>
            </w:pPr>
            <w:r>
              <w:rPr>
                <w:rFonts w:hint="eastAsia" w:ascii="宋体" w:hAnsi="宋体"/>
                <w:b/>
                <w:bCs/>
                <w:szCs w:val="21"/>
              </w:rPr>
              <w:t>6）挡</w:t>
            </w:r>
            <w:r>
              <w:rPr>
                <w:rFonts w:hint="eastAsia" w:ascii="宋体" w:hAnsi="宋体"/>
                <w:b/>
                <w:bCs/>
                <w:szCs w:val="21"/>
                <w:lang w:eastAsia="zh-CN"/>
              </w:rPr>
              <w:t>板</w:t>
            </w:r>
            <w:r>
              <w:rPr>
                <w:rFonts w:hint="eastAsia" w:ascii="宋体" w:hAnsi="宋体"/>
                <w:b/>
                <w:bCs/>
                <w:szCs w:val="21"/>
              </w:rPr>
              <w:t>：</w:t>
            </w:r>
            <w:r>
              <w:rPr>
                <w:rFonts w:hint="eastAsia" w:ascii="宋体" w:hAnsi="宋体"/>
                <w:kern w:val="0"/>
                <w:szCs w:val="21"/>
              </w:rPr>
              <w:t>采用0.8mm优质冷轧钢板，每二块搁板中间设有一块档板，便于分隔架体双面存放档案，材料选用优质冷轧钢板压制成槽型，设计为嵌入式压筋档板，碰击不脱落锁紧功能。</w:t>
            </w:r>
            <w:r>
              <w:rPr>
                <w:rFonts w:hint="eastAsia" w:ascii="宋体" w:hAnsi="宋体"/>
                <w:kern w:val="0"/>
                <w:szCs w:val="21"/>
                <w:lang w:eastAsia="zh-CN"/>
              </w:rPr>
              <w:t>外形美观</w:t>
            </w:r>
            <w:r>
              <w:rPr>
                <w:rFonts w:hint="eastAsia" w:ascii="宋体" w:hAnsi="宋体"/>
                <w:kern w:val="0"/>
                <w:szCs w:val="21"/>
                <w:lang w:val="en-US" w:eastAsia="zh-CN"/>
              </w:rPr>
              <w:t xml:space="preserve"> ，强度高。</w:t>
            </w:r>
          </w:p>
          <w:p>
            <w:pPr>
              <w:spacing w:line="360" w:lineRule="auto"/>
              <w:jc w:val="center"/>
              <w:rPr>
                <w:rFonts w:hint="eastAsia" w:ascii="宋体" w:hAnsi="宋体"/>
                <w:szCs w:val="21"/>
              </w:rPr>
            </w:pPr>
            <w:r>
              <w:rPr>
                <w:rFonts w:hint="eastAsia" w:ascii="宋体" w:hAnsi="宋体"/>
                <w:b/>
                <w:bCs/>
                <w:szCs w:val="21"/>
                <w:lang w:val="en-US" w:eastAsia="zh-CN"/>
              </w:rPr>
              <w:drawing>
                <wp:inline distT="0" distB="0" distL="114300" distR="114300">
                  <wp:extent cx="3217545" cy="3075940"/>
                  <wp:effectExtent l="0" t="0" r="13335" b="2540"/>
                  <wp:docPr id="4" name="图片 5" descr="微信图片_2021062409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210624093804"/>
                          <pic:cNvPicPr>
                            <a:picLocks noChangeAspect="1"/>
                          </pic:cNvPicPr>
                        </pic:nvPicPr>
                        <pic:blipFill>
                          <a:blip r:embed="rId10"/>
                          <a:srcRect l="16556" t="10309" r="3548" b="31288"/>
                          <a:stretch>
                            <a:fillRect/>
                          </a:stretch>
                        </pic:blipFill>
                        <pic:spPr>
                          <a:xfrm>
                            <a:off x="0" y="0"/>
                            <a:ext cx="3217545" cy="3075940"/>
                          </a:xfrm>
                          <a:prstGeom prst="rect">
                            <a:avLst/>
                          </a:prstGeom>
                          <a:noFill/>
                          <a:ln>
                            <a:noFill/>
                          </a:ln>
                        </pic:spPr>
                      </pic:pic>
                    </a:graphicData>
                  </a:graphic>
                </wp:inline>
              </w:drawing>
            </w:r>
          </w:p>
          <w:p>
            <w:pPr>
              <w:spacing w:line="360" w:lineRule="auto"/>
              <w:rPr>
                <w:rFonts w:hint="eastAsia" w:ascii="宋体" w:hAnsi="宋体" w:eastAsia="宋体" w:cs="Times New Roman"/>
                <w:kern w:val="0"/>
                <w:szCs w:val="21"/>
                <w:lang w:val="en-US" w:eastAsia="zh-CN"/>
              </w:rPr>
            </w:pPr>
            <w:r>
              <w:rPr>
                <w:rFonts w:hint="eastAsia" w:ascii="宋体" w:hAnsi="宋体" w:eastAsia="宋体" w:cs="Times New Roman"/>
                <w:b/>
                <w:bCs/>
                <w:kern w:val="0"/>
                <w:szCs w:val="21"/>
              </w:rPr>
              <w:t>7）</w:t>
            </w:r>
            <w:r>
              <w:rPr>
                <w:rFonts w:hint="eastAsia" w:ascii="宋体" w:hAnsi="宋体" w:eastAsia="宋体" w:cs="Times New Roman"/>
                <w:b/>
                <w:bCs/>
                <w:kern w:val="0"/>
                <w:szCs w:val="21"/>
                <w:lang w:eastAsia="zh-CN"/>
              </w:rPr>
              <w:t>仿古式橡木</w:t>
            </w:r>
            <w:r>
              <w:rPr>
                <w:rFonts w:hint="eastAsia" w:ascii="宋体" w:hAnsi="宋体" w:eastAsia="宋体" w:cs="Times New Roman"/>
                <w:b/>
                <w:bCs/>
                <w:kern w:val="0"/>
                <w:szCs w:val="21"/>
              </w:rPr>
              <w:t>侧</w:t>
            </w:r>
            <w:r>
              <w:rPr>
                <w:rFonts w:hint="eastAsia" w:ascii="宋体" w:hAnsi="宋体" w:eastAsia="宋体" w:cs="Times New Roman"/>
                <w:b/>
                <w:bCs/>
                <w:kern w:val="0"/>
                <w:szCs w:val="21"/>
                <w:lang w:eastAsia="zh-CN"/>
              </w:rPr>
              <w:t>护</w:t>
            </w:r>
            <w:r>
              <w:rPr>
                <w:rFonts w:hint="eastAsia" w:ascii="宋体" w:hAnsi="宋体" w:eastAsia="宋体" w:cs="Times New Roman"/>
                <w:b/>
                <w:bCs/>
                <w:kern w:val="0"/>
                <w:szCs w:val="21"/>
              </w:rPr>
              <w:t>板：</w:t>
            </w:r>
            <w:r>
              <w:rPr>
                <w:rFonts w:hint="eastAsia" w:ascii="宋体" w:hAnsi="宋体" w:eastAsia="宋体" w:cs="Times New Roman"/>
                <w:kern w:val="0"/>
                <w:szCs w:val="21"/>
                <w:lang w:val="en-US" w:eastAsia="zh-CN"/>
              </w:rPr>
              <w:t xml:space="preserve">侧板为工字型包柱结构, </w:t>
            </w:r>
            <w:r>
              <w:rPr>
                <w:rFonts w:hint="eastAsia" w:ascii="宋体" w:hAnsi="宋体" w:cs="Times New Roman"/>
                <w:b/>
                <w:bCs/>
                <w:kern w:val="0"/>
                <w:szCs w:val="21"/>
                <w:lang w:val="en-US" w:eastAsia="zh-CN"/>
              </w:rPr>
              <w:t>纯橡木实木材质，</w:t>
            </w:r>
            <w:r>
              <w:rPr>
                <w:rFonts w:hint="eastAsia" w:ascii="宋体" w:hAnsi="宋体" w:cs="Times New Roman"/>
                <w:kern w:val="0"/>
                <w:szCs w:val="21"/>
                <w:lang w:val="en-US" w:eastAsia="zh-CN"/>
              </w:rPr>
              <w:t>造型为</w:t>
            </w:r>
            <w:r>
              <w:rPr>
                <w:rFonts w:hint="eastAsia" w:ascii="宋体" w:hAnsi="宋体" w:eastAsia="宋体" w:cs="Times New Roman"/>
                <w:kern w:val="0"/>
                <w:szCs w:val="21"/>
                <w:lang w:val="en-US" w:eastAsia="zh-CN"/>
              </w:rPr>
              <w:t>仿古式橡木顶条造型,色泽均匀完整干净，无结疤、腐朽、裂纹、虫眼、夹皮变色等缺陷，无色差。木材含水率8%-10%。</w:t>
            </w:r>
          </w:p>
          <w:p>
            <w:pPr>
              <w:spacing w:line="360" w:lineRule="auto"/>
              <w:rPr>
                <w:rFonts w:hint="eastAsia" w:ascii="宋体" w:hAnsi="宋体" w:eastAsia="宋体" w:cs="Times New Roman"/>
                <w:kern w:val="0"/>
                <w:szCs w:val="21"/>
              </w:rPr>
            </w:pPr>
            <w:r>
              <w:rPr>
                <w:rFonts w:hint="eastAsia" w:ascii="宋体" w:hAnsi="宋体" w:eastAsia="宋体" w:cs="Times New Roman"/>
                <w:b/>
                <w:bCs/>
                <w:kern w:val="0"/>
                <w:szCs w:val="21"/>
                <w:lang w:val="en-US" w:eastAsia="zh-CN"/>
              </w:rPr>
              <w:t>8）</w:t>
            </w:r>
            <w:r>
              <w:rPr>
                <w:rFonts w:hint="eastAsia" w:ascii="宋体" w:hAnsi="宋体" w:eastAsia="宋体" w:cs="Times New Roman"/>
                <w:b/>
                <w:bCs/>
                <w:kern w:val="0"/>
                <w:szCs w:val="21"/>
                <w:lang w:eastAsia="zh-CN"/>
              </w:rPr>
              <w:t>木制</w:t>
            </w:r>
            <w:r>
              <w:rPr>
                <w:rFonts w:hint="eastAsia" w:ascii="宋体" w:hAnsi="宋体" w:eastAsia="宋体" w:cs="Times New Roman"/>
                <w:b/>
                <w:bCs/>
                <w:kern w:val="0"/>
                <w:szCs w:val="21"/>
              </w:rPr>
              <w:t>用材要求</w:t>
            </w:r>
            <w:r>
              <w:rPr>
                <w:rFonts w:hint="eastAsia" w:ascii="宋体" w:hAnsi="宋体" w:eastAsia="宋体" w:cs="Times New Roman"/>
                <w:kern w:val="0"/>
                <w:szCs w:val="21"/>
                <w:lang w:eastAsia="zh-CN"/>
              </w:rPr>
              <w:t>：</w:t>
            </w:r>
            <w:r>
              <w:rPr>
                <w:rFonts w:hint="eastAsia" w:ascii="宋体" w:hAnsi="宋体" w:eastAsia="宋体" w:cs="Times New Roman"/>
                <w:kern w:val="0"/>
                <w:szCs w:val="21"/>
              </w:rPr>
              <w:t>护板、顶底线条</w:t>
            </w:r>
            <w:r>
              <w:rPr>
                <w:rFonts w:hint="eastAsia" w:ascii="宋体" w:hAnsi="宋体" w:eastAsia="宋体" w:cs="Times New Roman"/>
                <w:kern w:val="0"/>
                <w:szCs w:val="21"/>
                <w:lang w:eastAsia="zh-CN"/>
              </w:rPr>
              <w:t>、顶板</w:t>
            </w:r>
            <w:r>
              <w:rPr>
                <w:rFonts w:hint="eastAsia" w:ascii="宋体" w:hAnsi="宋体" w:eastAsia="宋体" w:cs="Times New Roman"/>
                <w:kern w:val="0"/>
                <w:szCs w:val="21"/>
              </w:rPr>
              <w:t>所有部件采用</w:t>
            </w:r>
            <w:r>
              <w:rPr>
                <w:rFonts w:hint="eastAsia" w:ascii="宋体" w:hAnsi="宋体" w:eastAsia="宋体" w:cs="Times New Roman"/>
                <w:b/>
                <w:bCs/>
                <w:kern w:val="0"/>
                <w:szCs w:val="21"/>
                <w:lang w:eastAsia="zh-CN"/>
              </w:rPr>
              <w:t>优质</w:t>
            </w:r>
            <w:r>
              <w:rPr>
                <w:rFonts w:hint="eastAsia" w:ascii="宋体" w:hAnsi="宋体" w:eastAsia="宋体" w:cs="Times New Roman"/>
                <w:b/>
                <w:bCs/>
                <w:kern w:val="0"/>
                <w:szCs w:val="21"/>
              </w:rPr>
              <w:t>橡胶木</w:t>
            </w:r>
            <w:r>
              <w:rPr>
                <w:rFonts w:hint="eastAsia" w:ascii="宋体" w:hAnsi="宋体" w:eastAsia="宋体" w:cs="Times New Roman"/>
                <w:b/>
                <w:bCs/>
                <w:kern w:val="0"/>
                <w:szCs w:val="21"/>
                <w:lang w:eastAsia="zh-CN"/>
              </w:rPr>
              <w:t>实木</w:t>
            </w:r>
            <w:r>
              <w:rPr>
                <w:rFonts w:hint="eastAsia" w:ascii="宋体" w:hAnsi="宋体" w:eastAsia="宋体" w:cs="Times New Roman"/>
                <w:kern w:val="0"/>
                <w:szCs w:val="21"/>
                <w:lang w:eastAsia="zh-CN"/>
              </w:rPr>
              <w:t>，</w:t>
            </w:r>
            <w:r>
              <w:rPr>
                <w:rFonts w:hint="eastAsia" w:ascii="宋体" w:hAnsi="宋体" w:eastAsia="宋体" w:cs="Times New Roman"/>
                <w:kern w:val="0"/>
                <w:szCs w:val="21"/>
              </w:rPr>
              <w:t>护板整包外部周围钢件部分</w:t>
            </w:r>
            <w:r>
              <w:rPr>
                <w:rFonts w:hint="eastAsia" w:ascii="宋体" w:hAnsi="宋体" w:eastAsia="宋体" w:cs="Times New Roman"/>
                <w:kern w:val="0"/>
                <w:szCs w:val="21"/>
                <w:lang w:eastAsia="zh-CN"/>
              </w:rPr>
              <w:t>。</w:t>
            </w:r>
            <w:r>
              <w:rPr>
                <w:rFonts w:hint="eastAsia" w:ascii="宋体" w:hAnsi="宋体" w:eastAsia="宋体" w:cs="Times New Roman"/>
                <w:kern w:val="0"/>
                <w:szCs w:val="21"/>
              </w:rPr>
              <w:t>护板</w:t>
            </w:r>
            <w:r>
              <w:rPr>
                <w:rFonts w:hint="eastAsia" w:ascii="宋体" w:hAnsi="宋体" w:eastAsia="宋体" w:cs="Times New Roman"/>
                <w:kern w:val="0"/>
                <w:szCs w:val="21"/>
                <w:lang w:val="en-US" w:eastAsia="zh-CN"/>
              </w:rPr>
              <w:t>18</w:t>
            </w:r>
            <w:r>
              <w:rPr>
                <w:rFonts w:hint="eastAsia" w:ascii="宋体" w:hAnsi="宋体" w:eastAsia="宋体" w:cs="Times New Roman"/>
                <w:kern w:val="0"/>
                <w:szCs w:val="21"/>
              </w:rPr>
              <w:t>mm</w:t>
            </w:r>
            <w:r>
              <w:rPr>
                <w:rFonts w:hint="eastAsia" w:ascii="宋体" w:hAnsi="宋体" w:eastAsia="宋体" w:cs="Times New Roman"/>
                <w:kern w:val="0"/>
                <w:szCs w:val="21"/>
                <w:lang w:eastAsia="zh-CN"/>
              </w:rPr>
              <w:t>厚</w:t>
            </w:r>
            <w:r>
              <w:rPr>
                <w:rFonts w:hint="eastAsia" w:ascii="宋体" w:hAnsi="宋体" w:eastAsia="宋体" w:cs="Times New Roman"/>
                <w:kern w:val="0"/>
                <w:szCs w:val="21"/>
              </w:rPr>
              <w:t>，</w:t>
            </w:r>
            <w:r>
              <w:rPr>
                <w:rFonts w:hint="eastAsia" w:ascii="宋体" w:hAnsi="宋体" w:eastAsia="宋体" w:cs="Times New Roman"/>
                <w:kern w:val="0"/>
                <w:szCs w:val="21"/>
                <w:lang w:eastAsia="zh-CN"/>
              </w:rPr>
              <w:t>顶</w:t>
            </w:r>
            <w:r>
              <w:rPr>
                <w:rFonts w:hint="eastAsia" w:ascii="宋体" w:hAnsi="宋体" w:eastAsia="宋体" w:cs="Times New Roman"/>
                <w:kern w:val="0"/>
                <w:szCs w:val="21"/>
              </w:rPr>
              <w:t>底边线条15mm</w:t>
            </w:r>
            <w:r>
              <w:rPr>
                <w:rFonts w:hint="eastAsia" w:ascii="宋体" w:hAnsi="宋体" w:eastAsia="宋体" w:cs="Times New Roman"/>
                <w:kern w:val="0"/>
                <w:szCs w:val="21"/>
                <w:lang w:eastAsia="zh-CN"/>
              </w:rPr>
              <w:t>厚，顶板</w:t>
            </w:r>
            <w:r>
              <w:rPr>
                <w:rFonts w:hint="eastAsia" w:ascii="宋体" w:hAnsi="宋体" w:eastAsia="宋体" w:cs="Times New Roman"/>
                <w:kern w:val="0"/>
                <w:szCs w:val="21"/>
                <w:lang w:val="en-US" w:eastAsia="zh-CN"/>
              </w:rPr>
              <w:t>18mm厚</w:t>
            </w:r>
            <w:r>
              <w:rPr>
                <w:rFonts w:hint="eastAsia" w:ascii="宋体" w:hAnsi="宋体" w:eastAsia="宋体" w:cs="Times New Roman"/>
                <w:kern w:val="0"/>
                <w:szCs w:val="21"/>
              </w:rPr>
              <w:t>。</w:t>
            </w:r>
          </w:p>
          <w:p>
            <w:pPr>
              <w:spacing w:line="360" w:lineRule="auto"/>
              <w:rPr>
                <w:rFonts w:hint="eastAsia" w:ascii="宋体" w:hAnsi="宋体" w:cs="Times New Roman"/>
                <w:kern w:val="0"/>
                <w:szCs w:val="21"/>
              </w:rPr>
            </w:pPr>
            <w:r>
              <w:rPr>
                <w:rFonts w:hint="eastAsia" w:ascii="宋体" w:hAnsi="宋体" w:eastAsia="宋体" w:cs="Times New Roman"/>
                <w:kern w:val="0"/>
                <w:szCs w:val="21"/>
                <w:lang w:eastAsia="zh-CN"/>
              </w:rPr>
              <w:t>木材</w:t>
            </w:r>
            <w:r>
              <w:rPr>
                <w:rFonts w:hint="eastAsia" w:ascii="宋体" w:hAnsi="宋体" w:eastAsia="宋体" w:cs="Times New Roman"/>
                <w:kern w:val="0"/>
                <w:szCs w:val="21"/>
              </w:rPr>
              <w:t>经脱水、脱胶、防腐、防虫化学处理，无裂纹，缺口、虫洞，面板木纹纹理自然，颜色线条拼合细密，遇到潮湿或湿度较高情况不鼓起。胶粘剂采用进口原胶，性能可靠持久。表面采用高级环保耐磨漆，油漆采用五底三面工艺，光亮平整，无颗粒、汽泡、渣点、颜色均匀，持久耐磨。整体五金配件紧密拼接，封边细腻，线条均匀，转角过渡自然，间隙细小且均等。</w:t>
            </w:r>
          </w:p>
          <w:p>
            <w:pPr>
              <w:pStyle w:val="12"/>
              <w:spacing w:line="360" w:lineRule="auto"/>
              <w:rPr>
                <w:rFonts w:hint="eastAsia" w:ascii="宋体" w:hAnsi="宋体" w:eastAsia="宋体" w:cs="Times New Roman"/>
                <w:kern w:val="0"/>
                <w:szCs w:val="21"/>
                <w:lang w:eastAsia="zh-CN"/>
              </w:rPr>
            </w:pPr>
            <w:r>
              <w:rPr>
                <w:rFonts w:hint="eastAsia" w:ascii="宋体" w:hAnsi="宋体" w:cs="Times New Roman"/>
                <w:b/>
                <w:bCs/>
                <w:kern w:val="0"/>
                <w:szCs w:val="21"/>
              </w:rPr>
              <w:t>钢制部分颜色：</w:t>
            </w:r>
            <w:r>
              <w:rPr>
                <w:rFonts w:hint="eastAsia" w:ascii="宋体" w:hAnsi="宋体" w:cs="Times New Roman"/>
                <w:kern w:val="0"/>
                <w:szCs w:val="21"/>
              </w:rPr>
              <w:t>可选，采用优质冷轧钢板精工制造，工件经除油、去锈、脱脂、表调、磷化、水洗等十三道工序前处理，采用国际最新流行色优质环保型高附着力的金属表面纳米抗菌静电自动喷粉，高温固化而成，提高其防锈蚀和抗菌</w:t>
            </w:r>
            <w:r>
              <w:rPr>
                <w:rFonts w:hint="eastAsia" w:ascii="宋体" w:hAnsi="宋体" w:eastAsia="宋体" w:cs="Times New Roman"/>
                <w:kern w:val="0"/>
                <w:szCs w:val="21"/>
                <w:lang w:eastAsia="zh-CN"/>
              </w:rPr>
              <w:t>。</w:t>
            </w:r>
          </w:p>
          <w:p>
            <w:pPr>
              <w:pStyle w:val="12"/>
              <w:spacing w:line="360" w:lineRule="auto"/>
              <w:rPr>
                <w:rFonts w:hint="eastAsia" w:ascii="宋体" w:hAnsi="宋体" w:eastAsia="宋体" w:cs="Times New Roman"/>
                <w:kern w:val="0"/>
                <w:szCs w:val="21"/>
                <w:lang w:val="en-US" w:eastAsia="zh-CN"/>
              </w:rPr>
            </w:pPr>
          </w:p>
        </w:tc>
        <w:tc>
          <w:tcPr>
            <w:tcW w:w="1775" w:type="dxa"/>
            <w:noWrap w:val="0"/>
            <w:vAlign w:val="center"/>
          </w:tcPr>
          <w:p>
            <w:pPr>
              <w:pStyle w:val="12"/>
              <w:spacing w:line="360" w:lineRule="auto"/>
              <w:jc w:val="center"/>
              <w:rPr>
                <w:rFonts w:hint="default" w:ascii="宋体" w:hAnsi="宋体" w:eastAsia="宋体"/>
                <w:b/>
                <w:sz w:val="24"/>
                <w:szCs w:val="24"/>
                <w:vertAlign w:val="baseline"/>
                <w:lang w:val="en-US" w:eastAsia="zh-CN"/>
              </w:rPr>
            </w:pPr>
          </w:p>
        </w:tc>
        <w:tc>
          <w:tcPr>
            <w:tcW w:w="1759" w:type="dxa"/>
            <w:noWrap w:val="0"/>
            <w:vAlign w:val="center"/>
          </w:tcPr>
          <w:p>
            <w:pPr>
              <w:pStyle w:val="12"/>
              <w:spacing w:line="360" w:lineRule="auto"/>
              <w:jc w:val="center"/>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90</w:t>
            </w:r>
          </w:p>
        </w:tc>
        <w:tc>
          <w:tcPr>
            <w:tcW w:w="1865" w:type="dxa"/>
            <w:noWrap w:val="0"/>
            <w:vAlign w:val="center"/>
          </w:tcPr>
          <w:p>
            <w:pPr>
              <w:pStyle w:val="12"/>
              <w:spacing w:line="360" w:lineRule="auto"/>
              <w:jc w:val="center"/>
              <w:rPr>
                <w:rFonts w:hint="default" w:ascii="宋体" w:hAnsi="宋体" w:eastAsia="宋体"/>
                <w:b/>
                <w:sz w:val="24"/>
                <w:szCs w:val="24"/>
                <w:vertAlign w:val="baseline"/>
                <w:lang w:val="en-US" w:eastAsia="zh-CN"/>
              </w:rPr>
            </w:pPr>
          </w:p>
        </w:tc>
        <w:tc>
          <w:tcPr>
            <w:tcW w:w="1775" w:type="dxa"/>
            <w:noWrap w:val="0"/>
            <w:vAlign w:val="center"/>
          </w:tcPr>
          <w:p>
            <w:pPr>
              <w:pStyle w:val="12"/>
              <w:spacing w:line="360" w:lineRule="auto"/>
              <w:jc w:val="both"/>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组装方式为3组一个。则90组应有30个书架。</w:t>
            </w:r>
          </w:p>
          <w:p>
            <w:pPr>
              <w:pStyle w:val="12"/>
              <w:spacing w:line="360" w:lineRule="auto"/>
              <w:jc w:val="both"/>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900mm指书架安装好后每组书架的内空净长度，不包含立柱和侧护板的长度；</w:t>
            </w:r>
          </w:p>
          <w:p>
            <w:pPr>
              <w:pStyle w:val="12"/>
              <w:spacing w:line="360" w:lineRule="auto"/>
              <w:jc w:val="both"/>
              <w:rPr>
                <w:rFonts w:hint="eastAsia"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挡板加搁板单边测量宽度≥22mm；（挡板与搁板间无间隙）</w:t>
            </w:r>
          </w:p>
          <w:p>
            <w:pPr>
              <w:pStyle w:val="12"/>
              <w:spacing w:line="360" w:lineRule="auto"/>
              <w:jc w:val="both"/>
              <w:rPr>
                <w:rFonts w:hint="default" w:ascii="宋体" w:hAnsi="宋体" w:eastAsia="宋体"/>
                <w:b/>
                <w:sz w:val="24"/>
                <w:szCs w:val="24"/>
                <w:vertAlign w:val="baseline"/>
                <w:lang w:val="en-US" w:eastAsia="zh-CN"/>
              </w:rPr>
            </w:pPr>
            <w:r>
              <w:rPr>
                <w:rFonts w:hint="eastAsia" w:ascii="宋体" w:hAnsi="宋体" w:eastAsia="宋体"/>
                <w:b/>
                <w:sz w:val="24"/>
                <w:szCs w:val="24"/>
                <w:vertAlign w:val="baseline"/>
                <w:lang w:val="en-US" w:eastAsia="zh-CN"/>
              </w:rPr>
              <w:t>挡板为实心挡板。</w:t>
            </w:r>
          </w:p>
          <w:p>
            <w:pPr>
              <w:pStyle w:val="12"/>
              <w:spacing w:line="360" w:lineRule="auto"/>
              <w:jc w:val="both"/>
              <w:rPr>
                <w:rFonts w:hint="default" w:ascii="宋体" w:hAnsi="宋体" w:eastAsia="宋体"/>
                <w:b/>
                <w:sz w:val="24"/>
                <w:szCs w:val="24"/>
                <w:vertAlign w:val="baseline"/>
                <w:lang w:val="en-US" w:eastAsia="zh-CN"/>
              </w:rPr>
            </w:pPr>
          </w:p>
        </w:tc>
      </w:tr>
    </w:tbl>
    <w:p>
      <w:pPr>
        <w:rPr>
          <w:rFonts w:hint="default"/>
          <w:b/>
          <w:bCs/>
          <w:lang w:val="en-US" w:eastAsia="zh-CN"/>
        </w:rPr>
      </w:pPr>
    </w:p>
    <w:p>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bidi="zh-CN"/>
        </w:rPr>
        <w:t>商家应保证所提供的书架质量、参数与承诺一致，若采购方发现商家提供虚假材料谋取合作资格，则合作无效。</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zh-CN" w:eastAsia="zh-CN" w:bidi="zh-CN"/>
        </w:rPr>
      </w:pPr>
      <w:r>
        <w:rPr>
          <w:rFonts w:hint="eastAsia" w:ascii="仿宋_GB2312" w:hAnsi="仿宋_GB2312" w:cs="仿宋_GB2312"/>
          <w:color w:val="auto"/>
          <w:kern w:val="2"/>
          <w:sz w:val="32"/>
          <w:szCs w:val="32"/>
          <w:lang w:val="en-US" w:eastAsia="zh-CN" w:bidi="zh-CN"/>
        </w:rPr>
        <w:t>2.</w:t>
      </w:r>
      <w:r>
        <w:rPr>
          <w:rFonts w:hint="eastAsia" w:ascii="仿宋_GB2312" w:hAnsi="仿宋_GB2312" w:eastAsia="仿宋_GB2312" w:cs="仿宋_GB2312"/>
          <w:color w:val="auto"/>
          <w:sz w:val="32"/>
          <w:szCs w:val="32"/>
          <w:lang w:val="zh-CN" w:eastAsia="zh-CN" w:bidi="zh-CN"/>
        </w:rPr>
        <w:t>商家</w:t>
      </w:r>
      <w:r>
        <w:rPr>
          <w:rFonts w:hint="eastAsia" w:ascii="仿宋_GB2312" w:hAnsi="仿宋_GB2312" w:eastAsia="仿宋_GB2312" w:cs="仿宋_GB2312"/>
          <w:color w:val="auto"/>
          <w:kern w:val="2"/>
          <w:sz w:val="32"/>
          <w:szCs w:val="32"/>
          <w:lang w:val="zh-CN" w:eastAsia="zh-CN" w:bidi="zh-CN"/>
        </w:rPr>
        <w:t>的报价明显低于</w:t>
      </w:r>
      <w:r>
        <w:rPr>
          <w:rFonts w:hint="eastAsia" w:ascii="仿宋_GB2312" w:hAnsi="仿宋_GB2312" w:cs="仿宋_GB2312"/>
          <w:color w:val="auto"/>
          <w:kern w:val="2"/>
          <w:sz w:val="32"/>
          <w:szCs w:val="32"/>
          <w:lang w:val="zh-CN" w:eastAsia="zh-CN" w:bidi="zh-CN"/>
        </w:rPr>
        <w:t>其他商家</w:t>
      </w:r>
      <w:r>
        <w:rPr>
          <w:rFonts w:hint="eastAsia" w:ascii="仿宋_GB2312" w:hAnsi="仿宋_GB2312" w:eastAsia="仿宋_GB2312" w:cs="仿宋_GB2312"/>
          <w:color w:val="auto"/>
          <w:kern w:val="2"/>
          <w:sz w:val="32"/>
          <w:szCs w:val="32"/>
          <w:lang w:val="zh-CN" w:eastAsia="zh-CN" w:bidi="zh-CN"/>
        </w:rPr>
        <w:t>报价</w:t>
      </w:r>
      <w:r>
        <w:rPr>
          <w:rFonts w:hint="eastAsia" w:ascii="仿宋_GB2312" w:hAnsi="仿宋_GB2312" w:cs="仿宋_GB2312"/>
          <w:color w:val="auto"/>
          <w:kern w:val="2"/>
          <w:sz w:val="32"/>
          <w:szCs w:val="32"/>
          <w:lang w:val="zh-CN" w:eastAsia="zh-CN" w:bidi="zh-CN"/>
        </w:rPr>
        <w:t>的</w:t>
      </w:r>
      <w:r>
        <w:rPr>
          <w:rFonts w:hint="eastAsia" w:ascii="仿宋_GB2312" w:hAnsi="仿宋_GB2312" w:eastAsia="仿宋_GB2312" w:cs="仿宋_GB2312"/>
          <w:color w:val="auto"/>
          <w:kern w:val="2"/>
          <w:sz w:val="32"/>
          <w:szCs w:val="32"/>
          <w:lang w:val="zh-CN" w:eastAsia="zh-CN" w:bidi="zh-CN"/>
        </w:rPr>
        <w:t>，有可能影响产品质量或不能诚信履约的，应当要求其在现场合理的时间内提供书面说明，必要时提交相关证明材料，</w:t>
      </w:r>
      <w:r>
        <w:rPr>
          <w:rFonts w:hint="eastAsia" w:ascii="仿宋_GB2312" w:hAnsi="仿宋_GB2312" w:cs="仿宋_GB2312"/>
          <w:color w:val="auto"/>
          <w:kern w:val="2"/>
          <w:sz w:val="32"/>
          <w:szCs w:val="32"/>
          <w:lang w:val="zh-CN" w:eastAsia="zh-CN" w:bidi="zh-CN"/>
        </w:rPr>
        <w:t>商家</w:t>
      </w:r>
      <w:r>
        <w:rPr>
          <w:rFonts w:hint="eastAsia" w:ascii="仿宋_GB2312" w:hAnsi="仿宋_GB2312" w:eastAsia="仿宋_GB2312" w:cs="仿宋_GB2312"/>
          <w:color w:val="auto"/>
          <w:kern w:val="2"/>
          <w:sz w:val="32"/>
          <w:szCs w:val="32"/>
          <w:lang w:val="zh-CN" w:eastAsia="zh-CN" w:bidi="zh-CN"/>
        </w:rPr>
        <w:t>不能证明其报价合理性的，当无效</w:t>
      </w:r>
      <w:r>
        <w:rPr>
          <w:rFonts w:hint="eastAsia" w:ascii="仿宋_GB2312" w:hAnsi="仿宋_GB2312" w:cs="仿宋_GB2312"/>
          <w:color w:val="auto"/>
          <w:kern w:val="2"/>
          <w:sz w:val="32"/>
          <w:szCs w:val="32"/>
          <w:lang w:val="zh-CN" w:eastAsia="zh-CN" w:bidi="zh-CN"/>
        </w:rPr>
        <w:t>报价</w:t>
      </w:r>
      <w:r>
        <w:rPr>
          <w:rFonts w:hint="eastAsia" w:ascii="仿宋_GB2312" w:hAnsi="仿宋_GB2312" w:eastAsia="仿宋_GB2312" w:cs="仿宋_GB2312"/>
          <w:color w:val="auto"/>
          <w:kern w:val="2"/>
          <w:sz w:val="32"/>
          <w:szCs w:val="32"/>
          <w:lang w:val="zh-CN" w:eastAsia="zh-CN" w:bidi="zh-CN"/>
        </w:rPr>
        <w:t>处理。</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32"/>
          <w:lang w:val="en-US" w:eastAsia="zh-CN" w:bidi="zh-CN"/>
        </w:rPr>
      </w:pPr>
      <w:r>
        <w:rPr>
          <w:rFonts w:hint="eastAsia" w:ascii="仿宋_GB2312" w:hAnsi="仿宋_GB2312" w:cs="仿宋_GB2312"/>
          <w:color w:val="auto"/>
          <w:kern w:val="2"/>
          <w:sz w:val="32"/>
          <w:szCs w:val="32"/>
          <w:lang w:val="en-US" w:eastAsia="zh-CN" w:bidi="zh-CN"/>
        </w:rPr>
        <w:t>3.商家所提供的参数能完全符合采购方拟采书架的技术规格及技术参数性能配置、实用，结实、耐用、功能等要求。</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32"/>
          <w:lang w:val="en-US" w:eastAsia="zh-CN" w:bidi="zh-CN"/>
        </w:rPr>
      </w:pPr>
      <w:r>
        <w:rPr>
          <w:rFonts w:hint="eastAsia" w:ascii="仿宋_GB2312" w:hAnsi="仿宋_GB2312" w:cs="仿宋_GB2312"/>
          <w:color w:val="auto"/>
          <w:kern w:val="2"/>
          <w:sz w:val="32"/>
          <w:szCs w:val="32"/>
          <w:lang w:val="en-US" w:eastAsia="zh-CN" w:bidi="zh-CN"/>
        </w:rPr>
        <w:t>4.签订合同前，商家需要提供一组一列钢木书架（W900mm*D450mm*H2100mm）的成型样品。</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32"/>
          <w:lang w:val="en-US" w:eastAsia="zh-CN" w:bidi="zh-CN"/>
        </w:rPr>
      </w:pPr>
      <w:r>
        <w:rPr>
          <w:rFonts w:hint="eastAsia" w:ascii="仿宋_GB2312" w:hAnsi="仿宋_GB2312" w:cs="仿宋_GB2312"/>
          <w:color w:val="auto"/>
          <w:kern w:val="2"/>
          <w:sz w:val="32"/>
          <w:szCs w:val="32"/>
          <w:lang w:val="en-US" w:eastAsia="zh-CN" w:bidi="zh-CN"/>
        </w:rPr>
        <w:t>5.商家需提供冷轧钢板涂层（粉末涂料）检验报告、金属表面纳米抗菌静电喷涂膜检测报告、水性面漆报告、钢木书架型式检验报告。</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32"/>
          <w:lang w:val="en-US" w:eastAsia="zh-CN" w:bidi="zh-CN"/>
        </w:rPr>
      </w:pPr>
      <w:r>
        <w:rPr>
          <w:rFonts w:hint="eastAsia" w:ascii="仿宋_GB2312" w:hAnsi="仿宋_GB2312" w:cs="仿宋_GB2312"/>
          <w:color w:val="auto"/>
          <w:kern w:val="2"/>
          <w:sz w:val="32"/>
          <w:szCs w:val="32"/>
          <w:lang w:val="en-US" w:eastAsia="zh-CN" w:bidi="zh-CN"/>
        </w:rPr>
        <w:t>6.商家所供书架质量（书架坚固、钢板厚度、漆面</w:t>
      </w:r>
      <w:r>
        <w:rPr>
          <w:rFonts w:hint="default" w:ascii="仿宋_GB2312" w:hAnsi="仿宋_GB2312" w:cs="仿宋_GB2312"/>
          <w:color w:val="auto"/>
          <w:kern w:val="2"/>
          <w:sz w:val="32"/>
          <w:szCs w:val="32"/>
          <w:lang w:eastAsia="zh-CN" w:bidi="zh-CN"/>
        </w:rPr>
        <w:t>、板面</w:t>
      </w:r>
      <w:r>
        <w:rPr>
          <w:rFonts w:hint="eastAsia" w:ascii="仿宋_GB2312" w:hAnsi="仿宋_GB2312" w:cs="仿宋_GB2312"/>
          <w:color w:val="auto"/>
          <w:kern w:val="2"/>
          <w:sz w:val="32"/>
          <w:szCs w:val="32"/>
          <w:lang w:val="en-US" w:eastAsia="zh-CN" w:bidi="zh-CN"/>
        </w:rPr>
        <w:t>等）</w:t>
      </w:r>
      <w:r>
        <w:rPr>
          <w:rFonts w:hint="default" w:ascii="仿宋_GB2312" w:hAnsi="仿宋_GB2312" w:cs="仿宋_GB2312"/>
          <w:color w:val="auto"/>
          <w:kern w:val="2"/>
          <w:sz w:val="32"/>
          <w:szCs w:val="32"/>
          <w:lang w:eastAsia="zh-CN" w:bidi="zh-CN"/>
        </w:rPr>
        <w:t>必须是安装好后即达到使用方要求，</w:t>
      </w:r>
      <w:r>
        <w:rPr>
          <w:rFonts w:hint="eastAsia" w:ascii="仿宋_GB2312" w:hAnsi="仿宋_GB2312" w:cs="仿宋_GB2312"/>
          <w:color w:val="auto"/>
          <w:kern w:val="2"/>
          <w:sz w:val="32"/>
          <w:szCs w:val="32"/>
          <w:lang w:val="en-US" w:eastAsia="zh-CN" w:bidi="zh-CN"/>
        </w:rPr>
        <w:t>不得</w:t>
      </w:r>
      <w:r>
        <w:rPr>
          <w:rFonts w:hint="default" w:ascii="仿宋_GB2312" w:hAnsi="仿宋_GB2312" w:cs="仿宋_GB2312"/>
          <w:color w:val="auto"/>
          <w:kern w:val="2"/>
          <w:sz w:val="32"/>
          <w:szCs w:val="32"/>
          <w:lang w:eastAsia="zh-CN" w:bidi="zh-CN"/>
        </w:rPr>
        <w:t>出现修补、对所供零部件进行</w:t>
      </w:r>
      <w:r>
        <w:rPr>
          <w:rFonts w:hint="eastAsia" w:ascii="仿宋_GB2312" w:hAnsi="仿宋_GB2312" w:cs="仿宋_GB2312"/>
          <w:color w:val="auto"/>
          <w:kern w:val="2"/>
          <w:sz w:val="32"/>
          <w:szCs w:val="32"/>
          <w:lang w:eastAsia="zh-CN" w:bidi="zh-CN"/>
        </w:rPr>
        <w:t>再次</w:t>
      </w:r>
      <w:r>
        <w:rPr>
          <w:rFonts w:hint="default" w:ascii="仿宋_GB2312" w:hAnsi="仿宋_GB2312" w:cs="仿宋_GB2312"/>
          <w:color w:val="auto"/>
          <w:kern w:val="2"/>
          <w:sz w:val="32"/>
          <w:szCs w:val="32"/>
          <w:lang w:eastAsia="zh-CN" w:bidi="zh-CN"/>
        </w:rPr>
        <w:t>加工，二次喷漆、加固等情况出现 。</w:t>
      </w:r>
      <w:r>
        <w:rPr>
          <w:rFonts w:hint="eastAsia" w:ascii="仿宋_GB2312" w:hAnsi="仿宋_GB2312" w:cs="仿宋_GB2312"/>
          <w:color w:val="auto"/>
          <w:kern w:val="2"/>
          <w:sz w:val="32"/>
          <w:szCs w:val="32"/>
          <w:lang w:val="en-US" w:eastAsia="zh-CN" w:bidi="zh-CN"/>
        </w:rPr>
        <w:t>若不符合质量要求，则一律无条件退</w:t>
      </w:r>
      <w:r>
        <w:rPr>
          <w:rFonts w:hint="default" w:ascii="仿宋_GB2312" w:hAnsi="仿宋_GB2312" w:cs="仿宋_GB2312"/>
          <w:color w:val="auto"/>
          <w:kern w:val="2"/>
          <w:sz w:val="32"/>
          <w:szCs w:val="32"/>
          <w:lang w:eastAsia="zh-CN" w:bidi="zh-CN"/>
        </w:rPr>
        <w:t>货</w:t>
      </w:r>
      <w:r>
        <w:rPr>
          <w:rFonts w:hint="eastAsia" w:ascii="仿宋_GB2312" w:hAnsi="仿宋_GB2312" w:cs="仿宋_GB2312"/>
          <w:color w:val="auto"/>
          <w:kern w:val="2"/>
          <w:sz w:val="32"/>
          <w:szCs w:val="32"/>
          <w:lang w:val="en-US" w:eastAsia="zh-CN" w:bidi="zh-CN"/>
        </w:rPr>
        <w:t>，</w:t>
      </w:r>
      <w:r>
        <w:rPr>
          <w:rFonts w:hint="eastAsia" w:ascii="仿宋_GB2312" w:hAnsi="仿宋_GB2312" w:cs="仿宋_GB2312"/>
          <w:color w:val="auto"/>
          <w:kern w:val="2"/>
          <w:sz w:val="32"/>
          <w:szCs w:val="32"/>
          <w:u w:val="none"/>
          <w:lang w:val="en-US" w:eastAsia="zh-CN" w:bidi="zh-CN"/>
        </w:rPr>
        <w:t>退</w:t>
      </w:r>
      <w:r>
        <w:rPr>
          <w:rFonts w:hint="default" w:ascii="仿宋_GB2312" w:hAnsi="仿宋_GB2312" w:cs="仿宋_GB2312"/>
          <w:color w:val="auto"/>
          <w:kern w:val="2"/>
          <w:sz w:val="32"/>
          <w:szCs w:val="32"/>
          <w:u w:val="none"/>
          <w:lang w:eastAsia="zh-CN" w:bidi="zh-CN"/>
        </w:rPr>
        <w:t>货</w:t>
      </w:r>
      <w:r>
        <w:rPr>
          <w:rFonts w:hint="eastAsia" w:ascii="仿宋_GB2312" w:hAnsi="仿宋_GB2312" w:cs="仿宋_GB2312"/>
          <w:color w:val="auto"/>
          <w:kern w:val="2"/>
          <w:sz w:val="32"/>
          <w:szCs w:val="32"/>
          <w:lang w:val="en-US" w:eastAsia="zh-CN" w:bidi="zh-CN"/>
        </w:rPr>
        <w:t>所</w:t>
      </w:r>
      <w:r>
        <w:rPr>
          <w:rFonts w:hint="default" w:ascii="仿宋_GB2312" w:hAnsi="仿宋_GB2312" w:cs="仿宋_GB2312"/>
          <w:color w:val="auto"/>
          <w:kern w:val="2"/>
          <w:sz w:val="32"/>
          <w:szCs w:val="32"/>
          <w:lang w:eastAsia="zh-CN" w:bidi="zh-CN"/>
        </w:rPr>
        <w:t>产生的</w:t>
      </w:r>
      <w:r>
        <w:rPr>
          <w:rFonts w:hint="eastAsia" w:ascii="仿宋_GB2312" w:hAnsi="仿宋_GB2312" w:cs="仿宋_GB2312"/>
          <w:color w:val="auto"/>
          <w:kern w:val="2"/>
          <w:sz w:val="32"/>
          <w:szCs w:val="32"/>
          <w:lang w:val="en-US" w:eastAsia="zh-CN" w:bidi="zh-CN"/>
        </w:rPr>
        <w:t>费用由商家自行承担且取消合作。</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32"/>
          <w:lang w:val="en-US" w:eastAsia="zh-CN" w:bidi="zh-CN"/>
        </w:rPr>
      </w:pPr>
      <w:r>
        <w:rPr>
          <w:rFonts w:hint="eastAsia" w:ascii="仿宋_GB2312" w:hAnsi="仿宋_GB2312" w:cs="仿宋_GB2312"/>
          <w:color w:val="auto"/>
          <w:kern w:val="2"/>
          <w:sz w:val="32"/>
          <w:szCs w:val="32"/>
          <w:lang w:val="en-US" w:eastAsia="zh-CN" w:bidi="zh-CN"/>
        </w:rPr>
        <w:t>7.商家所供书架必须到达采购方指定地点，即贵州健康职业学院图书馆3楼书库，运输及安装等系列费用由商家自行承担。</w:t>
      </w:r>
    </w:p>
    <w:p>
      <w:pPr>
        <w:pStyle w:val="6"/>
        <w:ind w:firstLine="640" w:firstLineChars="200"/>
      </w:pPr>
      <w:r>
        <w:rPr>
          <w:rFonts w:hint="eastAsia" w:ascii="仿宋_GB2312" w:hAnsi="仿宋_GB2312" w:eastAsia="仿宋_GB2312" w:cs="仿宋_GB2312"/>
          <w:color w:val="auto"/>
          <w:kern w:val="2"/>
          <w:sz w:val="32"/>
          <w:szCs w:val="32"/>
          <w:lang w:val="en-US" w:eastAsia="zh-CN" w:bidi="zh-CN"/>
        </w:rPr>
        <w:t>8.其他在合同中约定。</w:t>
      </w:r>
    </w:p>
    <w:p>
      <w:bookmarkStart w:id="0" w:name="_GoBack"/>
      <w:bookmarkEnd w:id="0"/>
    </w:p>
    <w:sectPr>
      <w:headerReference r:id="rId3" w:type="default"/>
      <w:footerReference r:id="rId4" w:type="default"/>
      <w:footnotePr>
        <w:numFmt w:val="decimal"/>
      </w:footnotePr>
      <w:pgSz w:w="15840" w:h="12240" w:orient="landscape"/>
      <w:pgMar w:top="1800" w:right="1440" w:bottom="180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1F00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1NNUm/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Xd6bNA/Dx1MkEplbmjDCToPpkrK6aaHSFvyZ566Xn2j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9TTVJ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03DBE"/>
    <w:rsid w:val="6630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Times New Roman" w:hAnsi="Times New Roman" w:eastAsia="宋体" w:cs="Times New Roman"/>
      <w:lang w:val="en-US"/>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Calibri" w:hAnsi="Calibri" w:eastAsia="宋体" w:cs="Times New Roman"/>
      <w:kern w:val="2"/>
      <w:sz w:val="21"/>
      <w:szCs w:val="22"/>
    </w:rPr>
  </w:style>
  <w:style w:type="paragraph" w:customStyle="1" w:styleId="3">
    <w:name w:val="1"/>
    <w:basedOn w:val="4"/>
    <w:next w:val="5"/>
    <w:qFormat/>
    <w:uiPriority w:val="0"/>
    <w:pPr>
      <w:spacing w:afterLines="50" w:line="360" w:lineRule="auto"/>
    </w:pPr>
    <w:rPr>
      <w:rFonts w:ascii="宋体" w:hAnsi="宋体"/>
      <w:b/>
      <w:sz w:val="30"/>
      <w:szCs w:val="21"/>
    </w:rPr>
  </w:style>
  <w:style w:type="paragraph" w:customStyle="1" w:styleId="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Indent"/>
    <w:basedOn w:val="1"/>
    <w:next w:val="6"/>
    <w:unhideWhenUsed/>
    <w:qFormat/>
    <w:uiPriority w:val="99"/>
    <w:pPr>
      <w:ind w:firstLine="645"/>
    </w:pPr>
    <w:rPr>
      <w:rFonts w:ascii="Arial" w:hAnsi="Arial" w:eastAsia="仿宋_GB2312"/>
      <w:sz w:val="28"/>
    </w:rPr>
  </w:style>
  <w:style w:type="paragraph" w:customStyle="1" w:styleId="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styleId="7">
    <w:name w:val="footer"/>
    <w:basedOn w:val="1"/>
    <w:uiPriority w:val="0"/>
    <w:pPr>
      <w:tabs>
        <w:tab w:val="center" w:pos="4153"/>
        <w:tab w:val="right" w:pos="8306"/>
      </w:tabs>
      <w:snapToGrid w:val="0"/>
    </w:pPr>
    <w:rPr>
      <w:color w:val="000000"/>
      <w:kern w:val="1"/>
      <w:sz w:val="18"/>
      <w:szCs w:val="18"/>
      <w:lang w:val="zh-CN"/>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无间隔"/>
    <w:basedOn w:val="1"/>
    <w:qFormat/>
    <w:uiPriority w:val="0"/>
    <w:pPr>
      <w:widowControl/>
      <w:jc w:val="left"/>
    </w:pPr>
    <w:rPr>
      <w:rFonts w:ascii="Times New Roman" w:hAnsi="Times New Roman" w:eastAsia="Times New Roman"/>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2021-08-28T07:16:00Z</dcterms:created>
  <dc:creator>思吖思</dc:creator>
  <cp:lastModifiedBy>思吖思</cp:lastModifiedBy>
  <dcterms:modified xsi:type="dcterms:W3CDTF">2021-08-28T07:17:05Z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1A7C94FC598147019A1C1E1A232227EB</vt:lpwstr>
  </property>
</Properties>
</file>